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60" w:rsidRPr="00062ECC" w:rsidRDefault="0024109B" w:rsidP="0024109B">
      <w:pPr>
        <w:jc w:val="center"/>
        <w:rPr>
          <w:rFonts w:ascii="Arial" w:hAnsi="Arial" w:cs="Arial"/>
        </w:rPr>
      </w:pPr>
      <w:bookmarkStart w:id="0" w:name="_GoBack"/>
      <w:bookmarkEnd w:id="0"/>
      <w:r w:rsidRPr="00062ECC">
        <w:rPr>
          <w:rFonts w:ascii="Arial" w:hAnsi="Arial" w:cs="Arial"/>
        </w:rPr>
        <w:t>Results of Professional Learning Evaluations</w:t>
      </w:r>
    </w:p>
    <w:p w:rsidR="0024109B" w:rsidRPr="00062ECC" w:rsidRDefault="0024109B" w:rsidP="0024109B">
      <w:pPr>
        <w:jc w:val="center"/>
        <w:rPr>
          <w:rFonts w:ascii="Arial" w:hAnsi="Arial" w:cs="Arial"/>
        </w:rPr>
      </w:pPr>
    </w:p>
    <w:tbl>
      <w:tblPr>
        <w:tblStyle w:val="TableGrid"/>
        <w:tblW w:w="0" w:type="auto"/>
        <w:tblLook w:val="04A0" w:firstRow="1" w:lastRow="0" w:firstColumn="1" w:lastColumn="0" w:noHBand="0" w:noVBand="1"/>
      </w:tblPr>
      <w:tblGrid>
        <w:gridCol w:w="1255"/>
        <w:gridCol w:w="2610"/>
        <w:gridCol w:w="5485"/>
      </w:tblGrid>
      <w:tr w:rsidR="00062ECC" w:rsidRPr="00062ECC" w:rsidTr="00062ECC">
        <w:tc>
          <w:tcPr>
            <w:tcW w:w="1255" w:type="dxa"/>
          </w:tcPr>
          <w:p w:rsidR="00062ECC" w:rsidRPr="00062ECC" w:rsidRDefault="00062ECC" w:rsidP="0024109B">
            <w:pPr>
              <w:jc w:val="center"/>
              <w:rPr>
                <w:rFonts w:ascii="Arial" w:hAnsi="Arial" w:cs="Arial"/>
                <w:b/>
              </w:rPr>
            </w:pPr>
            <w:r w:rsidRPr="00062ECC">
              <w:rPr>
                <w:rFonts w:ascii="Arial" w:hAnsi="Arial" w:cs="Arial"/>
                <w:b/>
              </w:rPr>
              <w:t>Date</w:t>
            </w:r>
          </w:p>
        </w:tc>
        <w:tc>
          <w:tcPr>
            <w:tcW w:w="2610" w:type="dxa"/>
          </w:tcPr>
          <w:p w:rsidR="00062ECC" w:rsidRPr="00062ECC" w:rsidRDefault="00062ECC" w:rsidP="0024109B">
            <w:pPr>
              <w:jc w:val="center"/>
              <w:rPr>
                <w:rFonts w:ascii="Arial" w:hAnsi="Arial" w:cs="Arial"/>
                <w:b/>
              </w:rPr>
            </w:pPr>
            <w:r w:rsidRPr="00062ECC">
              <w:rPr>
                <w:rFonts w:ascii="Arial" w:hAnsi="Arial" w:cs="Arial"/>
                <w:b/>
              </w:rPr>
              <w:t>Routine</w:t>
            </w:r>
          </w:p>
        </w:tc>
        <w:tc>
          <w:tcPr>
            <w:tcW w:w="5485" w:type="dxa"/>
          </w:tcPr>
          <w:p w:rsidR="00062ECC" w:rsidRPr="00062ECC" w:rsidRDefault="00062ECC" w:rsidP="0024109B">
            <w:pPr>
              <w:jc w:val="center"/>
              <w:rPr>
                <w:rFonts w:ascii="Arial" w:hAnsi="Arial" w:cs="Arial"/>
                <w:b/>
              </w:rPr>
            </w:pPr>
            <w:r w:rsidRPr="00062ECC">
              <w:rPr>
                <w:rFonts w:ascii="Arial" w:hAnsi="Arial" w:cs="Arial"/>
                <w:b/>
              </w:rPr>
              <w:t>Results of Evaluations</w:t>
            </w:r>
          </w:p>
        </w:tc>
      </w:tr>
      <w:tr w:rsidR="00062ECC" w:rsidRPr="00062ECC" w:rsidTr="00062ECC">
        <w:tc>
          <w:tcPr>
            <w:tcW w:w="1255" w:type="dxa"/>
          </w:tcPr>
          <w:p w:rsidR="00062ECC" w:rsidRPr="00062ECC" w:rsidRDefault="00062ECC" w:rsidP="0024109B">
            <w:pPr>
              <w:jc w:val="center"/>
              <w:rPr>
                <w:rFonts w:ascii="Arial" w:hAnsi="Arial" w:cs="Arial"/>
              </w:rPr>
            </w:pPr>
            <w:r w:rsidRPr="00062ECC">
              <w:rPr>
                <w:rFonts w:ascii="Arial" w:hAnsi="Arial" w:cs="Arial"/>
              </w:rPr>
              <w:t>December 10, 2019</w:t>
            </w:r>
          </w:p>
          <w:p w:rsidR="00062ECC" w:rsidRPr="00062ECC" w:rsidRDefault="00062ECC" w:rsidP="0024109B">
            <w:pPr>
              <w:jc w:val="center"/>
              <w:rPr>
                <w:rFonts w:ascii="Arial" w:hAnsi="Arial" w:cs="Arial"/>
              </w:rPr>
            </w:pPr>
          </w:p>
          <w:p w:rsidR="00062ECC" w:rsidRPr="00062ECC" w:rsidRDefault="00062ECC" w:rsidP="0024109B">
            <w:pPr>
              <w:jc w:val="center"/>
              <w:rPr>
                <w:rFonts w:ascii="Arial" w:hAnsi="Arial" w:cs="Arial"/>
              </w:rPr>
            </w:pPr>
          </w:p>
          <w:p w:rsidR="00062ECC" w:rsidRPr="00062ECC" w:rsidRDefault="00062ECC" w:rsidP="0024109B">
            <w:pPr>
              <w:jc w:val="center"/>
              <w:rPr>
                <w:rFonts w:ascii="Arial" w:hAnsi="Arial" w:cs="Arial"/>
              </w:rPr>
            </w:pPr>
          </w:p>
        </w:tc>
        <w:tc>
          <w:tcPr>
            <w:tcW w:w="2610" w:type="dxa"/>
          </w:tcPr>
          <w:p w:rsidR="00062ECC" w:rsidRPr="00062ECC" w:rsidRDefault="00062ECC" w:rsidP="0024109B">
            <w:pPr>
              <w:jc w:val="center"/>
              <w:rPr>
                <w:rFonts w:ascii="Arial" w:hAnsi="Arial" w:cs="Arial"/>
              </w:rPr>
            </w:pPr>
            <w:r>
              <w:rPr>
                <w:rFonts w:ascii="Arial" w:hAnsi="Arial" w:cs="Arial"/>
              </w:rPr>
              <w:t>The Vocabulary LINCing Routine</w:t>
            </w:r>
          </w:p>
        </w:tc>
        <w:tc>
          <w:tcPr>
            <w:tcW w:w="5485" w:type="dxa"/>
          </w:tcPr>
          <w:p w:rsidR="00062ECC" w:rsidRPr="003D21F6" w:rsidRDefault="003D21F6" w:rsidP="003D21F6">
            <w:pPr>
              <w:rPr>
                <w:rFonts w:ascii="Arial" w:hAnsi="Arial" w:cs="Arial"/>
              </w:rPr>
            </w:pPr>
            <w:r>
              <w:rPr>
                <w:rFonts w:ascii="Arial" w:hAnsi="Arial" w:cs="Arial"/>
              </w:rPr>
              <w:t>The trends showed that most participants were pleased with the presentation, presenters, and the session overall.  Some participants seemed to want more handouts in addition to the guidebook.</w:t>
            </w:r>
          </w:p>
          <w:p w:rsidR="00062ECC" w:rsidRPr="00062ECC" w:rsidRDefault="00062ECC" w:rsidP="00062ECC">
            <w:pPr>
              <w:rPr>
                <w:rFonts w:ascii="Arial" w:hAnsi="Arial" w:cs="Arial"/>
              </w:rPr>
            </w:pPr>
          </w:p>
          <w:p w:rsidR="00062ECC" w:rsidRDefault="00062ECC" w:rsidP="00062ECC">
            <w:pPr>
              <w:rPr>
                <w:rFonts w:ascii="Arial" w:hAnsi="Arial" w:cs="Arial"/>
              </w:rPr>
            </w:pPr>
            <w:r>
              <w:rPr>
                <w:rFonts w:ascii="Arial" w:hAnsi="Arial" w:cs="Arial"/>
              </w:rPr>
              <w:t xml:space="preserve">Through self-reflection, we noticed that the advance organizer was clear and helped us determine a purpose for the training.  We were comprehensive in our overview and explained the differences between CERs and LS.  We demonstrated partnership learning by offering choice through co-constructing and independent practice. </w:t>
            </w:r>
          </w:p>
          <w:p w:rsidR="00062ECC" w:rsidRDefault="00062ECC" w:rsidP="00062ECC">
            <w:pPr>
              <w:rPr>
                <w:rFonts w:ascii="Arial" w:hAnsi="Arial" w:cs="Arial"/>
              </w:rPr>
            </w:pPr>
          </w:p>
          <w:p w:rsidR="00062ECC" w:rsidRPr="00062ECC" w:rsidRDefault="00062ECC" w:rsidP="00062ECC">
            <w:pPr>
              <w:rPr>
                <w:rFonts w:ascii="Arial" w:hAnsi="Arial" w:cs="Arial"/>
              </w:rPr>
            </w:pPr>
            <w:r>
              <w:rPr>
                <w:rFonts w:ascii="Arial" w:hAnsi="Arial" w:cs="Arial"/>
              </w:rPr>
              <w:t xml:space="preserve">Next time, we might consider strengthening the pacing of the presentation and explaining our sequence for our instruction explicitly.  Participants asked meaningful questions about implementation before we were able to model the routine. </w:t>
            </w:r>
          </w:p>
          <w:p w:rsidR="00062ECC" w:rsidRPr="00062ECC" w:rsidRDefault="00062ECC" w:rsidP="00062ECC">
            <w:pPr>
              <w:rPr>
                <w:rFonts w:ascii="Arial" w:hAnsi="Arial" w:cs="Arial"/>
              </w:rPr>
            </w:pPr>
          </w:p>
        </w:tc>
      </w:tr>
      <w:tr w:rsidR="00062ECC" w:rsidRPr="00062ECC" w:rsidTr="00062ECC">
        <w:tc>
          <w:tcPr>
            <w:tcW w:w="1255" w:type="dxa"/>
          </w:tcPr>
          <w:p w:rsidR="00062ECC" w:rsidRPr="00062ECC" w:rsidRDefault="00CF1CC3" w:rsidP="0024109B">
            <w:pPr>
              <w:jc w:val="center"/>
              <w:rPr>
                <w:rFonts w:ascii="Arial" w:hAnsi="Arial" w:cs="Arial"/>
              </w:rPr>
            </w:pPr>
            <w:r>
              <w:rPr>
                <w:rFonts w:ascii="Arial" w:hAnsi="Arial" w:cs="Arial"/>
              </w:rPr>
              <w:t>March 11, 2020</w:t>
            </w:r>
          </w:p>
          <w:p w:rsidR="00062ECC" w:rsidRPr="00062ECC" w:rsidRDefault="00062ECC" w:rsidP="0024109B">
            <w:pPr>
              <w:jc w:val="center"/>
              <w:rPr>
                <w:rFonts w:ascii="Arial" w:hAnsi="Arial" w:cs="Arial"/>
              </w:rPr>
            </w:pPr>
          </w:p>
          <w:p w:rsidR="00062ECC" w:rsidRPr="00062ECC" w:rsidRDefault="00062ECC" w:rsidP="0024109B">
            <w:pPr>
              <w:jc w:val="center"/>
              <w:rPr>
                <w:rFonts w:ascii="Arial" w:hAnsi="Arial" w:cs="Arial"/>
              </w:rPr>
            </w:pPr>
          </w:p>
          <w:p w:rsidR="00062ECC" w:rsidRPr="00062ECC" w:rsidRDefault="00062ECC" w:rsidP="0024109B">
            <w:pPr>
              <w:jc w:val="center"/>
              <w:rPr>
                <w:rFonts w:ascii="Arial" w:hAnsi="Arial" w:cs="Arial"/>
              </w:rPr>
            </w:pPr>
          </w:p>
        </w:tc>
        <w:tc>
          <w:tcPr>
            <w:tcW w:w="2610" w:type="dxa"/>
          </w:tcPr>
          <w:p w:rsidR="00062ECC" w:rsidRPr="00062ECC" w:rsidRDefault="00062ECC" w:rsidP="0024109B">
            <w:pPr>
              <w:jc w:val="center"/>
              <w:rPr>
                <w:rFonts w:ascii="Arial" w:hAnsi="Arial" w:cs="Arial"/>
              </w:rPr>
            </w:pPr>
            <w:r>
              <w:rPr>
                <w:rFonts w:ascii="Arial" w:hAnsi="Arial" w:cs="Arial"/>
              </w:rPr>
              <w:t>The Framing Routine</w:t>
            </w:r>
          </w:p>
        </w:tc>
        <w:tc>
          <w:tcPr>
            <w:tcW w:w="5485" w:type="dxa"/>
          </w:tcPr>
          <w:p w:rsidR="00062ECC" w:rsidRDefault="00CF1CC3" w:rsidP="00CF1CC3">
            <w:pPr>
              <w:rPr>
                <w:rFonts w:ascii="Arial" w:hAnsi="Arial" w:cs="Arial"/>
              </w:rPr>
            </w:pPr>
            <w:r>
              <w:rPr>
                <w:rFonts w:ascii="Arial" w:hAnsi="Arial" w:cs="Arial"/>
              </w:rPr>
              <w:t xml:space="preserve">The trends showed that all participants were pleased with the presentation, presenters, and the session overall. There were no additional comments on the evaluation forms. </w:t>
            </w:r>
          </w:p>
          <w:p w:rsidR="00CF1CC3" w:rsidRDefault="00CF1CC3" w:rsidP="00CF1CC3">
            <w:pPr>
              <w:rPr>
                <w:rFonts w:ascii="Arial" w:hAnsi="Arial" w:cs="Arial"/>
              </w:rPr>
            </w:pPr>
          </w:p>
          <w:p w:rsidR="00EE7891" w:rsidRDefault="00CF1CC3" w:rsidP="00CF1CC3">
            <w:pPr>
              <w:rPr>
                <w:rFonts w:ascii="Arial" w:hAnsi="Arial" w:cs="Arial"/>
              </w:rPr>
            </w:pPr>
            <w:r>
              <w:rPr>
                <w:rFonts w:ascii="Arial" w:hAnsi="Arial" w:cs="Arial"/>
              </w:rPr>
              <w:t>Through self-reflection, we realized that the gallery walk was an effective way to give teachers prior knowledge of a completed frame.  We also felt that allowing participants to work in partners to practice developing</w:t>
            </w:r>
            <w:r w:rsidR="00EE7891">
              <w:rPr>
                <w:rFonts w:ascii="Arial" w:hAnsi="Arial" w:cs="Arial"/>
              </w:rPr>
              <w:t xml:space="preserve"> and teaching a frame was an effective. </w:t>
            </w:r>
          </w:p>
          <w:p w:rsidR="00EE7891" w:rsidRDefault="00EE7891" w:rsidP="00CF1CC3">
            <w:pPr>
              <w:rPr>
                <w:rFonts w:ascii="Arial" w:hAnsi="Arial" w:cs="Arial"/>
              </w:rPr>
            </w:pPr>
          </w:p>
          <w:p w:rsidR="00CF1CC3" w:rsidRPr="00062ECC" w:rsidRDefault="00EE7891" w:rsidP="00CF1CC3">
            <w:pPr>
              <w:rPr>
                <w:rFonts w:ascii="Arial" w:hAnsi="Arial" w:cs="Arial"/>
              </w:rPr>
            </w:pPr>
            <w:r>
              <w:rPr>
                <w:rFonts w:ascii="Arial" w:hAnsi="Arial" w:cs="Arial"/>
              </w:rPr>
              <w:t xml:space="preserve">Next time, </w:t>
            </w:r>
            <w:r w:rsidR="00CF1CC3">
              <w:rPr>
                <w:rFonts w:ascii="Arial" w:hAnsi="Arial" w:cs="Arial"/>
              </w:rPr>
              <w:t xml:space="preserve">we can work on increasing teacher participation during the ‘analyze details’ portion of Cue, Do, Review. During this professional learning opportunity, the teachers were reluctant to offer details related to each main idea in section 4.  We could have provided additional prompts during co-construction to ensure participant engagement. </w:t>
            </w:r>
          </w:p>
        </w:tc>
      </w:tr>
    </w:tbl>
    <w:p w:rsidR="00062ECC" w:rsidRDefault="00062ECC" w:rsidP="0024109B">
      <w:pPr>
        <w:jc w:val="center"/>
      </w:pPr>
    </w:p>
    <w:sectPr w:rsidR="0006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92D03"/>
    <w:multiLevelType w:val="hybridMultilevel"/>
    <w:tmpl w:val="F118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9B"/>
    <w:rsid w:val="00062ECC"/>
    <w:rsid w:val="001D573A"/>
    <w:rsid w:val="0024109B"/>
    <w:rsid w:val="003D21F6"/>
    <w:rsid w:val="00A0693E"/>
    <w:rsid w:val="00A31A9E"/>
    <w:rsid w:val="00A81E31"/>
    <w:rsid w:val="00CF1CC3"/>
    <w:rsid w:val="00EE7891"/>
    <w:rsid w:val="00F2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E37E-9F74-473D-B8BD-B2BA38AC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Shelley</dc:creator>
  <cp:keywords/>
  <dc:description/>
  <cp:lastModifiedBy>Perry, Donni</cp:lastModifiedBy>
  <cp:revision>2</cp:revision>
  <dcterms:created xsi:type="dcterms:W3CDTF">2020-09-18T21:32:00Z</dcterms:created>
  <dcterms:modified xsi:type="dcterms:W3CDTF">2020-09-18T21:32:00Z</dcterms:modified>
</cp:coreProperties>
</file>