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Student Interview</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I completed an informal interview with one of my students on 1/28/21. Below is a summary of her thoughts.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The student said she thought the strategy was confusing at first. She said as she was able to practice the strategy, it became easier. She noted that it was hard to remember what each letter of INFER stood for at first. She said she eventually memorized each letter and was proud of herself. The student said she will use the Inference Strategy on her probes for her IEP goal. She said her favorite part of the strategy is finding clues. The student said she thinks other students should learn the strategy. She said it will help them when they need to read a passage and answer questions.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